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31" w:rsidRPr="0081165E" w:rsidRDefault="00A24931" w:rsidP="000673A6">
      <w:pPr>
        <w:rPr>
          <w:rFonts w:ascii="Times New Roman" w:hAnsi="Times New Roman" w:cs="Times New Roman"/>
          <w:sz w:val="20"/>
          <w:szCs w:val="20"/>
          <w:lang w:val="fr-FR"/>
        </w:rPr>
      </w:pPr>
    </w:p>
    <w:p w:rsidR="000673A6" w:rsidRPr="0081165E" w:rsidRDefault="00A34A5B" w:rsidP="00A34A5B">
      <w:pPr>
        <w:jc w:val="center"/>
        <w:rPr>
          <w:rFonts w:ascii="Times New Roman" w:hAnsi="Times New Roman" w:cs="Times New Roman"/>
          <w:b/>
          <w:bCs/>
          <w:sz w:val="20"/>
          <w:szCs w:val="20"/>
          <w:lang w:val="fr-FR"/>
        </w:rPr>
      </w:pPr>
      <w:r w:rsidRPr="0081165E">
        <w:rPr>
          <w:rFonts w:ascii="Times New Roman" w:hAnsi="Times New Roman" w:cs="Times New Roman"/>
          <w:b/>
          <w:bCs/>
          <w:sz w:val="20"/>
          <w:szCs w:val="20"/>
          <w:lang w:val="fr-FR"/>
        </w:rPr>
        <w:t>REFERENTIEL FINANCIER</w:t>
      </w:r>
    </w:p>
    <w:tbl>
      <w:tblPr>
        <w:tblW w:w="5067" w:type="pct"/>
        <w:tblInd w:w="-126" w:type="dxa"/>
        <w:shd w:val="clear" w:color="auto" w:fill="FFFFFF"/>
        <w:tblCellMar>
          <w:left w:w="0" w:type="dxa"/>
          <w:right w:w="0" w:type="dxa"/>
        </w:tblCellMar>
        <w:tblLook w:val="04A0"/>
      </w:tblPr>
      <w:tblGrid>
        <w:gridCol w:w="126"/>
        <w:gridCol w:w="2152"/>
        <w:gridCol w:w="3544"/>
        <w:gridCol w:w="3773"/>
      </w:tblGrid>
      <w:tr w:rsidR="000673A6" w:rsidRPr="0081165E" w:rsidTr="0081165E">
        <w:trPr>
          <w:gridBefore w:val="1"/>
          <w:wBefore w:w="126" w:type="dxa"/>
        </w:trPr>
        <w:tc>
          <w:tcPr>
            <w:tcW w:w="2152" w:type="dxa"/>
            <w:tcBorders>
              <w:top w:val="single" w:sz="12"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t>Domaine d'activités</w:t>
            </w:r>
          </w:p>
        </w:tc>
        <w:tc>
          <w:tcPr>
            <w:tcW w:w="7317" w:type="dxa"/>
            <w:gridSpan w:val="2"/>
            <w:tcBorders>
              <w:top w:val="single" w:sz="12"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sz w:val="20"/>
                <w:szCs w:val="20"/>
                <w:lang w:val="fr-FR"/>
              </w:rPr>
            </w:pPr>
            <w:r w:rsidRPr="0081165E">
              <w:rPr>
                <w:rFonts w:ascii="Times New Roman" w:hAnsi="Times New Roman" w:cs="Times New Roman"/>
                <w:sz w:val="20"/>
                <w:szCs w:val="20"/>
                <w:lang w:val="fr-FR"/>
              </w:rPr>
              <w:t>Pilotage, management et gestion des ressources</w:t>
            </w:r>
          </w:p>
        </w:tc>
      </w:tr>
      <w:tr w:rsidR="000673A6" w:rsidRPr="0081165E" w:rsidTr="0081165E">
        <w:trPr>
          <w:gridBefore w:val="1"/>
          <w:wBefore w:w="126" w:type="dxa"/>
        </w:trPr>
        <w:tc>
          <w:tcPr>
            <w:tcW w:w="9469" w:type="dxa"/>
            <w:gridSpan w:val="3"/>
            <w:tcBorders>
              <w:top w:val="nil"/>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pPr>
              <w:spacing w:line="193" w:lineRule="atLeast"/>
              <w:textAlignment w:val="baseline"/>
              <w:rPr>
                <w:rFonts w:ascii="Times New Roman" w:hAnsi="Times New Roman" w:cs="Times New Roman"/>
                <w:b/>
                <w:bCs/>
                <w:sz w:val="20"/>
                <w:szCs w:val="20"/>
              </w:rPr>
            </w:pPr>
            <w:r w:rsidRPr="0081165E">
              <w:rPr>
                <w:rFonts w:ascii="Times New Roman" w:hAnsi="Times New Roman" w:cs="Times New Roman"/>
                <w:b/>
                <w:bCs/>
                <w:sz w:val="20"/>
                <w:szCs w:val="20"/>
              </w:rPr>
              <w:t>DIRECTEUR FINANCIER</w:t>
            </w:r>
          </w:p>
        </w:tc>
      </w:tr>
      <w:tr w:rsidR="000673A6" w:rsidRPr="0081165E" w:rsidTr="0081165E">
        <w:trPr>
          <w:gridBefore w:val="1"/>
          <w:wBefore w:w="126" w:type="dxa"/>
        </w:trPr>
        <w:tc>
          <w:tcPr>
            <w:tcW w:w="2152" w:type="dxa"/>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t>Domaine professionnel</w:t>
            </w:r>
          </w:p>
        </w:tc>
        <w:tc>
          <w:tcPr>
            <w:tcW w:w="7317" w:type="dxa"/>
            <w:gridSpan w:val="2"/>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6"/>
              </w:numPr>
              <w:spacing w:after="0" w:line="193" w:lineRule="atLeast"/>
              <w:ind w:left="360"/>
              <w:textAlignment w:val="baseline"/>
              <w:rPr>
                <w:rFonts w:ascii="Times New Roman" w:hAnsi="Times New Roman" w:cs="Times New Roman"/>
                <w:sz w:val="20"/>
                <w:szCs w:val="20"/>
              </w:rPr>
            </w:pPr>
            <w:r w:rsidRPr="0081165E">
              <w:rPr>
                <w:rStyle w:val="lib"/>
                <w:rFonts w:ascii="Times New Roman" w:hAnsi="Times New Roman" w:cs="Times New Roman"/>
                <w:sz w:val="20"/>
                <w:szCs w:val="20"/>
                <w:bdr w:val="none" w:sz="0" w:space="0" w:color="auto" w:frame="1"/>
              </w:rPr>
              <w:t>Comptabilité et gestion</w:t>
            </w:r>
          </w:p>
        </w:tc>
      </w:tr>
      <w:tr w:rsidR="000673A6" w:rsidRPr="0081165E" w:rsidTr="0081165E">
        <w:trPr>
          <w:gridBefore w:val="1"/>
          <w:wBefore w:w="126" w:type="dxa"/>
        </w:trPr>
        <w:tc>
          <w:tcPr>
            <w:tcW w:w="2152" w:type="dxa"/>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t>Emploi/Métier</w:t>
            </w:r>
          </w:p>
        </w:tc>
        <w:tc>
          <w:tcPr>
            <w:tcW w:w="7317" w:type="dxa"/>
            <w:gridSpan w:val="2"/>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7"/>
              </w:numPr>
              <w:spacing w:after="0" w:line="193" w:lineRule="atLeast"/>
              <w:ind w:left="360"/>
              <w:textAlignment w:val="baseline"/>
              <w:rPr>
                <w:rFonts w:ascii="Times New Roman" w:hAnsi="Times New Roman" w:cs="Times New Roman"/>
                <w:sz w:val="20"/>
                <w:szCs w:val="20"/>
              </w:rPr>
            </w:pPr>
            <w:r w:rsidRPr="0081165E">
              <w:rPr>
                <w:rStyle w:val="lib"/>
                <w:rFonts w:ascii="Times New Roman" w:hAnsi="Times New Roman" w:cs="Times New Roman"/>
                <w:sz w:val="20"/>
                <w:szCs w:val="20"/>
                <w:bdr w:val="none" w:sz="0" w:space="0" w:color="auto" w:frame="1"/>
              </w:rPr>
              <w:t>Direction administrative et financière</w:t>
            </w:r>
          </w:p>
        </w:tc>
      </w:tr>
      <w:tr w:rsidR="000673A6" w:rsidRPr="0081165E" w:rsidTr="0081165E">
        <w:tc>
          <w:tcPr>
            <w:tcW w:w="5822" w:type="dxa"/>
            <w:gridSpan w:val="3"/>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spacing w:line="193" w:lineRule="atLeast"/>
              <w:ind w:left="126"/>
              <w:rPr>
                <w:rFonts w:ascii="Times New Roman" w:hAnsi="Times New Roman" w:cs="Times New Roman"/>
                <w:b/>
                <w:bCs/>
                <w:sz w:val="20"/>
                <w:szCs w:val="20"/>
              </w:rPr>
            </w:pPr>
            <w:r w:rsidRPr="0081165E">
              <w:rPr>
                <w:rFonts w:ascii="Times New Roman" w:hAnsi="Times New Roman" w:cs="Times New Roman"/>
                <w:b/>
                <w:bCs/>
                <w:sz w:val="20"/>
                <w:szCs w:val="20"/>
              </w:rPr>
              <w:t>Autres appellations</w:t>
            </w:r>
          </w:p>
        </w:tc>
        <w:tc>
          <w:tcPr>
            <w:tcW w:w="3773" w:type="dxa"/>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numPr>
                <w:ilvl w:val="0"/>
                <w:numId w:val="8"/>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rPr>
              <w:t>Directeur financier et comptable</w:t>
            </w:r>
          </w:p>
          <w:p w:rsidR="000673A6" w:rsidRPr="0081165E" w:rsidRDefault="000673A6" w:rsidP="0081165E">
            <w:pPr>
              <w:numPr>
                <w:ilvl w:val="0"/>
                <w:numId w:val="8"/>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rPr>
              <w:t>Responsable du budget</w:t>
            </w:r>
          </w:p>
          <w:p w:rsidR="0081165E" w:rsidRPr="0081165E" w:rsidRDefault="000673A6" w:rsidP="0081165E">
            <w:pPr>
              <w:numPr>
                <w:ilvl w:val="0"/>
                <w:numId w:val="8"/>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lang w:val="fr-FR"/>
              </w:rPr>
              <w:t>Responsable de la gestion</w:t>
            </w:r>
          </w:p>
          <w:p w:rsidR="000673A6" w:rsidRPr="0081165E" w:rsidRDefault="000673A6" w:rsidP="0081165E">
            <w:pPr>
              <w:numPr>
                <w:ilvl w:val="0"/>
                <w:numId w:val="8"/>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rPr>
              <w:t>Directeur des affaires financières</w:t>
            </w:r>
          </w:p>
          <w:p w:rsidR="000673A6" w:rsidRPr="0081165E" w:rsidRDefault="000673A6" w:rsidP="0081165E">
            <w:pPr>
              <w:numPr>
                <w:ilvl w:val="0"/>
                <w:numId w:val="8"/>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rPr>
              <w:t>Responsable administratif et financier</w:t>
            </w:r>
          </w:p>
        </w:tc>
      </w:tr>
      <w:tr w:rsidR="000673A6" w:rsidRPr="0081165E" w:rsidTr="0081165E">
        <w:tc>
          <w:tcPr>
            <w:tcW w:w="5822" w:type="dxa"/>
            <w:gridSpan w:val="3"/>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spacing w:line="193" w:lineRule="atLeast"/>
              <w:ind w:left="126"/>
              <w:rPr>
                <w:rFonts w:ascii="Times New Roman" w:hAnsi="Times New Roman" w:cs="Times New Roman"/>
                <w:b/>
                <w:bCs/>
                <w:sz w:val="20"/>
                <w:szCs w:val="20"/>
              </w:rPr>
            </w:pPr>
            <w:r w:rsidRPr="0081165E">
              <w:rPr>
                <w:rFonts w:ascii="Times New Roman" w:hAnsi="Times New Roman" w:cs="Times New Roman"/>
                <w:b/>
                <w:bCs/>
                <w:sz w:val="20"/>
                <w:szCs w:val="20"/>
              </w:rPr>
              <w:t>Facteurs d'évolution</w:t>
            </w:r>
          </w:p>
        </w:tc>
        <w:tc>
          <w:tcPr>
            <w:tcW w:w="3773" w:type="dxa"/>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numPr>
                <w:ilvl w:val="0"/>
                <w:numId w:val="9"/>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Développement de logiques prospectives intégrant projets, contraintes et risques</w:t>
            </w:r>
          </w:p>
          <w:p w:rsidR="000673A6" w:rsidRPr="0081165E" w:rsidRDefault="000673A6" w:rsidP="0081165E">
            <w:pPr>
              <w:numPr>
                <w:ilvl w:val="0"/>
                <w:numId w:val="9"/>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Partage de l'information avec les services et les usagers</w:t>
            </w:r>
          </w:p>
          <w:p w:rsidR="000673A6" w:rsidRPr="0081165E" w:rsidRDefault="000673A6" w:rsidP="0081165E">
            <w:pPr>
              <w:numPr>
                <w:ilvl w:val="0"/>
                <w:numId w:val="9"/>
              </w:numPr>
              <w:spacing w:after="0" w:line="193" w:lineRule="atLeast"/>
              <w:ind w:left="360"/>
              <w:jc w:val="both"/>
              <w:textAlignment w:val="baseline"/>
              <w:rPr>
                <w:rFonts w:ascii="Times New Roman" w:hAnsi="Times New Roman" w:cs="Times New Roman"/>
                <w:sz w:val="20"/>
                <w:szCs w:val="20"/>
              </w:rPr>
            </w:pPr>
            <w:r w:rsidRPr="0081165E">
              <w:rPr>
                <w:rFonts w:ascii="Times New Roman" w:hAnsi="Times New Roman" w:cs="Times New Roman"/>
                <w:sz w:val="20"/>
                <w:szCs w:val="20"/>
              </w:rPr>
              <w:t>Modification des systèmes d'information financière</w:t>
            </w:r>
          </w:p>
          <w:p w:rsidR="00A34A5B" w:rsidRPr="0081165E" w:rsidRDefault="000673A6" w:rsidP="0081165E">
            <w:pPr>
              <w:numPr>
                <w:ilvl w:val="0"/>
                <w:numId w:val="9"/>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 xml:space="preserve">Développement de correspondances </w:t>
            </w:r>
          </w:p>
          <w:p w:rsidR="000673A6" w:rsidRPr="0081165E" w:rsidRDefault="000673A6" w:rsidP="0081165E">
            <w:pPr>
              <w:numPr>
                <w:ilvl w:val="0"/>
                <w:numId w:val="9"/>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Mise en place d'un contrôle de gestion</w:t>
            </w:r>
          </w:p>
          <w:p w:rsidR="000673A6" w:rsidRPr="0081165E" w:rsidRDefault="000673A6" w:rsidP="0081165E">
            <w:pPr>
              <w:numPr>
                <w:ilvl w:val="0"/>
                <w:numId w:val="9"/>
              </w:numPr>
              <w:spacing w:after="0" w:line="193" w:lineRule="atLeast"/>
              <w:ind w:left="360"/>
              <w:jc w:val="both"/>
              <w:textAlignment w:val="baseline"/>
              <w:rPr>
                <w:rFonts w:ascii="Times New Roman" w:hAnsi="Times New Roman" w:cs="Times New Roman"/>
                <w:sz w:val="20"/>
                <w:szCs w:val="20"/>
              </w:rPr>
            </w:pPr>
            <w:r w:rsidRPr="0081165E">
              <w:rPr>
                <w:rFonts w:ascii="Times New Roman" w:hAnsi="Times New Roman" w:cs="Times New Roman"/>
                <w:sz w:val="20"/>
                <w:szCs w:val="20"/>
              </w:rPr>
              <w:t>Gestion patrimoniale</w:t>
            </w:r>
          </w:p>
          <w:p w:rsidR="000673A6" w:rsidRPr="0081165E" w:rsidRDefault="000673A6" w:rsidP="0081165E">
            <w:pPr>
              <w:numPr>
                <w:ilvl w:val="0"/>
                <w:numId w:val="9"/>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Développement des nouvelles technologies : e-administration</w:t>
            </w:r>
          </w:p>
        </w:tc>
      </w:tr>
      <w:tr w:rsidR="000673A6" w:rsidRPr="0081165E" w:rsidTr="0081165E">
        <w:tc>
          <w:tcPr>
            <w:tcW w:w="5822" w:type="dxa"/>
            <w:gridSpan w:val="3"/>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t>Définition</w:t>
            </w:r>
          </w:p>
        </w:tc>
        <w:tc>
          <w:tcPr>
            <w:tcW w:w="3773" w:type="dxa"/>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spacing w:line="193" w:lineRule="atLeast"/>
              <w:jc w:val="both"/>
              <w:rPr>
                <w:rFonts w:ascii="Times New Roman" w:hAnsi="Times New Roman" w:cs="Times New Roman"/>
                <w:sz w:val="20"/>
                <w:szCs w:val="20"/>
                <w:lang w:val="fr-FR"/>
              </w:rPr>
            </w:pPr>
            <w:r w:rsidRPr="0081165E">
              <w:rPr>
                <w:rFonts w:ascii="Times New Roman" w:hAnsi="Times New Roman" w:cs="Times New Roman"/>
                <w:sz w:val="20"/>
                <w:szCs w:val="20"/>
                <w:lang w:val="fr-FR"/>
              </w:rPr>
              <w:t xml:space="preserve">Assure ou supervise les procédures budgétaires, la gestion de la dette, de la trésorerie et des garanties d'emprunt, les analyses financières et fiscales et propose des stratégies. Supervise le contrôle de gestion, la mise en place de tableaux de bord, la gestion comptable, la gestion financière. Assure la direction des services financiers, budgétaires et comptables. </w:t>
            </w:r>
          </w:p>
        </w:tc>
      </w:tr>
      <w:tr w:rsidR="000673A6" w:rsidRPr="0081165E" w:rsidTr="0081165E">
        <w:tc>
          <w:tcPr>
            <w:tcW w:w="5822" w:type="dxa"/>
            <w:gridSpan w:val="3"/>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t>Situation fonctionnelle</w:t>
            </w:r>
          </w:p>
        </w:tc>
        <w:tc>
          <w:tcPr>
            <w:tcW w:w="3773" w:type="dxa"/>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A34A5B">
            <w:pPr>
              <w:numPr>
                <w:ilvl w:val="0"/>
                <w:numId w:val="10"/>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Rattaché à la direction générale</w:t>
            </w:r>
          </w:p>
        </w:tc>
      </w:tr>
      <w:tr w:rsidR="000673A6" w:rsidRPr="0081165E" w:rsidTr="0081165E">
        <w:tc>
          <w:tcPr>
            <w:tcW w:w="5822" w:type="dxa"/>
            <w:gridSpan w:val="3"/>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t>Conditions d'exercice</w:t>
            </w:r>
          </w:p>
        </w:tc>
        <w:tc>
          <w:tcPr>
            <w:tcW w:w="3773" w:type="dxa"/>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numPr>
                <w:ilvl w:val="0"/>
                <w:numId w:val="11"/>
              </w:numPr>
              <w:spacing w:after="0" w:line="193" w:lineRule="atLeast"/>
              <w:ind w:left="360"/>
              <w:jc w:val="both"/>
              <w:textAlignment w:val="baseline"/>
              <w:rPr>
                <w:rFonts w:ascii="Times New Roman" w:hAnsi="Times New Roman" w:cs="Times New Roman"/>
                <w:sz w:val="20"/>
                <w:szCs w:val="20"/>
              </w:rPr>
            </w:pPr>
            <w:r w:rsidRPr="0081165E">
              <w:rPr>
                <w:rFonts w:ascii="Times New Roman" w:hAnsi="Times New Roman" w:cs="Times New Roman"/>
                <w:sz w:val="20"/>
                <w:szCs w:val="20"/>
              </w:rPr>
              <w:t>Travaille en bureau</w:t>
            </w:r>
          </w:p>
          <w:p w:rsidR="000673A6" w:rsidRPr="0081165E" w:rsidRDefault="000673A6" w:rsidP="0081165E">
            <w:pPr>
              <w:numPr>
                <w:ilvl w:val="0"/>
                <w:numId w:val="11"/>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Déplacements au sein des services déconcentrés ou auprès des partenaires et interlocuteurs externes</w:t>
            </w:r>
          </w:p>
          <w:p w:rsidR="000673A6" w:rsidRPr="0081165E" w:rsidRDefault="000673A6" w:rsidP="0081165E">
            <w:pPr>
              <w:numPr>
                <w:ilvl w:val="0"/>
                <w:numId w:val="11"/>
              </w:numPr>
              <w:spacing w:after="0" w:line="193" w:lineRule="atLeast"/>
              <w:ind w:left="360"/>
              <w:jc w:val="both"/>
              <w:textAlignment w:val="baseline"/>
              <w:rPr>
                <w:rFonts w:ascii="Times New Roman" w:hAnsi="Times New Roman" w:cs="Times New Roman"/>
                <w:sz w:val="20"/>
                <w:szCs w:val="20"/>
              </w:rPr>
            </w:pPr>
            <w:r w:rsidRPr="0081165E">
              <w:rPr>
                <w:rFonts w:ascii="Times New Roman" w:hAnsi="Times New Roman" w:cs="Times New Roman"/>
                <w:sz w:val="20"/>
                <w:szCs w:val="20"/>
                <w:lang w:val="fr-FR"/>
              </w:rPr>
              <w:t xml:space="preserve">Rythme de travail souple nécessitant une grande réactivité et une grande disponibilité. </w:t>
            </w:r>
            <w:r w:rsidRPr="0081165E">
              <w:rPr>
                <w:rFonts w:ascii="Times New Roman" w:hAnsi="Times New Roman" w:cs="Times New Roman"/>
                <w:sz w:val="20"/>
                <w:szCs w:val="20"/>
              </w:rPr>
              <w:t>Pics d'activité liés aux arbitrages budgétaires</w:t>
            </w:r>
          </w:p>
        </w:tc>
      </w:tr>
      <w:tr w:rsidR="000673A6" w:rsidRPr="0081165E" w:rsidTr="0081165E">
        <w:tc>
          <w:tcPr>
            <w:tcW w:w="5822" w:type="dxa"/>
            <w:gridSpan w:val="3"/>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lastRenderedPageBreak/>
              <w:t>Autonomie et responsabilités</w:t>
            </w:r>
          </w:p>
        </w:tc>
        <w:tc>
          <w:tcPr>
            <w:tcW w:w="3773" w:type="dxa"/>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numPr>
                <w:ilvl w:val="0"/>
                <w:numId w:val="12"/>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Forte responsabilité dans l'élaboration du budget de la collectivité</w:t>
            </w:r>
          </w:p>
          <w:p w:rsidR="000673A6" w:rsidRPr="0081165E" w:rsidRDefault="000673A6" w:rsidP="0081165E">
            <w:pPr>
              <w:numPr>
                <w:ilvl w:val="0"/>
                <w:numId w:val="12"/>
              </w:numPr>
              <w:spacing w:after="0" w:line="193" w:lineRule="atLeast"/>
              <w:ind w:left="360"/>
              <w:jc w:val="both"/>
              <w:textAlignment w:val="baseline"/>
              <w:rPr>
                <w:rFonts w:ascii="Times New Roman" w:hAnsi="Times New Roman" w:cs="Times New Roman"/>
                <w:sz w:val="20"/>
                <w:szCs w:val="20"/>
              </w:rPr>
            </w:pPr>
            <w:r w:rsidRPr="0081165E">
              <w:rPr>
                <w:rFonts w:ascii="Times New Roman" w:hAnsi="Times New Roman" w:cs="Times New Roman"/>
                <w:sz w:val="20"/>
                <w:szCs w:val="20"/>
                <w:lang w:val="fr-FR"/>
              </w:rPr>
              <w:t xml:space="preserve">Travail défini en concertation avec le directeur général, suivi et évalué par celui-ci. Garant des choix budgétaires et de la transparence consolidée des comptes. </w:t>
            </w:r>
          </w:p>
          <w:p w:rsidR="000673A6" w:rsidRPr="0081165E" w:rsidRDefault="000673A6" w:rsidP="0081165E">
            <w:pPr>
              <w:numPr>
                <w:ilvl w:val="0"/>
                <w:numId w:val="12"/>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Les principales erreurs (d'évaluation, de diagnostic, de calcul et relationnelles) peuvent aboutir à un blocage des services, conduire à des prises de décisions contraires aux intérêts de la collectivité, développer une mauvaise image de la collectivité et de ses représentants, discréditer les dispositifs et engendrer une méfiance des services, une perte d'efficacité et entraîner des risques d'inéligibilité du fait des risques de gestion (gestion de fait)</w:t>
            </w:r>
          </w:p>
          <w:p w:rsidR="000673A6" w:rsidRPr="0081165E" w:rsidRDefault="000673A6" w:rsidP="0081165E">
            <w:pPr>
              <w:numPr>
                <w:ilvl w:val="0"/>
                <w:numId w:val="12"/>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Encadrement d'une équipe à effectifs variables, selon la taille de la collectivité, de l'établissement, ou de l'équipement</w:t>
            </w:r>
          </w:p>
        </w:tc>
      </w:tr>
      <w:tr w:rsidR="000673A6" w:rsidRPr="0081165E" w:rsidTr="0081165E">
        <w:tc>
          <w:tcPr>
            <w:tcW w:w="5822" w:type="dxa"/>
            <w:gridSpan w:val="3"/>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t>Relations fonctionnelles</w:t>
            </w:r>
          </w:p>
        </w:tc>
        <w:tc>
          <w:tcPr>
            <w:tcW w:w="3773" w:type="dxa"/>
            <w:tcBorders>
              <w:top w:val="single" w:sz="4" w:space="0" w:color="E64163"/>
              <w:left w:val="nil"/>
              <w:bottom w:val="nil"/>
              <w:right w:val="nil"/>
            </w:tcBorders>
            <w:shd w:val="clear" w:color="auto" w:fill="FFFFFF"/>
            <w:tcMar>
              <w:top w:w="54" w:type="dxa"/>
              <w:left w:w="54" w:type="dxa"/>
              <w:bottom w:w="161" w:type="dxa"/>
              <w:right w:w="54" w:type="dxa"/>
            </w:tcMar>
            <w:vAlign w:val="center"/>
            <w:hideMark/>
          </w:tcPr>
          <w:p w:rsidR="000673A6" w:rsidRPr="0081165E" w:rsidRDefault="000673A6" w:rsidP="0081165E">
            <w:pPr>
              <w:numPr>
                <w:ilvl w:val="0"/>
                <w:numId w:val="13"/>
              </w:numPr>
              <w:spacing w:after="0" w:line="193" w:lineRule="atLeast"/>
              <w:ind w:left="360"/>
              <w:jc w:val="both"/>
              <w:textAlignment w:val="baseline"/>
              <w:rPr>
                <w:rFonts w:ascii="Times New Roman" w:hAnsi="Times New Roman" w:cs="Times New Roman"/>
                <w:sz w:val="20"/>
                <w:szCs w:val="20"/>
              </w:rPr>
            </w:pPr>
            <w:r w:rsidRPr="0081165E">
              <w:rPr>
                <w:rFonts w:ascii="Times New Roman" w:hAnsi="Times New Roman" w:cs="Times New Roman"/>
                <w:sz w:val="20"/>
                <w:szCs w:val="20"/>
              </w:rPr>
              <w:t>Echanges permanents avec les subordonnés</w:t>
            </w:r>
          </w:p>
          <w:p w:rsidR="000673A6" w:rsidRPr="0081165E" w:rsidRDefault="000673A6" w:rsidP="0081165E">
            <w:pPr>
              <w:numPr>
                <w:ilvl w:val="0"/>
                <w:numId w:val="13"/>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Echanges réguliers avec la direction des autres services de la collectivité : technique, RH, informatique</w:t>
            </w:r>
          </w:p>
          <w:p w:rsidR="000673A6" w:rsidRPr="0081165E" w:rsidRDefault="000673A6" w:rsidP="0081165E">
            <w:pPr>
              <w:numPr>
                <w:ilvl w:val="0"/>
                <w:numId w:val="13"/>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Echanges réguliers avec les différents partenaires extérieurs : financeurs publics et privés, acteurs du contrôle de légalité, associations de défense des usagers</w:t>
            </w:r>
          </w:p>
          <w:p w:rsidR="000673A6" w:rsidRPr="0081165E" w:rsidRDefault="000673A6" w:rsidP="0081165E">
            <w:pPr>
              <w:numPr>
                <w:ilvl w:val="0"/>
                <w:numId w:val="13"/>
              </w:numPr>
              <w:spacing w:after="0" w:line="193" w:lineRule="atLeast"/>
              <w:ind w:left="360"/>
              <w:jc w:val="both"/>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Echanges occasionnels avec des collègues d'autres collectivités sur les méthodes, techniques, outils et résultats dans le cadre de réseaux professionnels</w:t>
            </w:r>
          </w:p>
        </w:tc>
      </w:tr>
    </w:tbl>
    <w:p w:rsidR="00A34A5B" w:rsidRPr="0081165E" w:rsidRDefault="00A34A5B">
      <w:pPr>
        <w:rPr>
          <w:rFonts w:ascii="Times New Roman" w:hAnsi="Times New Roman" w:cs="Times New Roman"/>
          <w:sz w:val="20"/>
          <w:szCs w:val="20"/>
          <w:lang w:val="fr-FR"/>
        </w:rPr>
      </w:pPr>
      <w:r w:rsidRPr="0081165E">
        <w:rPr>
          <w:rFonts w:ascii="Times New Roman" w:hAnsi="Times New Roman" w:cs="Times New Roman"/>
          <w:sz w:val="20"/>
          <w:szCs w:val="20"/>
          <w:lang w:val="fr-FR"/>
        </w:rPr>
        <w:br w:type="page"/>
      </w:r>
    </w:p>
    <w:tbl>
      <w:tblPr>
        <w:tblW w:w="5067" w:type="pct"/>
        <w:tblInd w:w="-126" w:type="dxa"/>
        <w:shd w:val="clear" w:color="auto" w:fill="FFFFFF"/>
        <w:tblCellMar>
          <w:left w:w="0" w:type="dxa"/>
          <w:right w:w="0" w:type="dxa"/>
        </w:tblCellMar>
        <w:tblLook w:val="04A0"/>
      </w:tblPr>
      <w:tblGrid>
        <w:gridCol w:w="9595"/>
      </w:tblGrid>
      <w:tr w:rsidR="000673A6" w:rsidRPr="0081165E" w:rsidTr="00A34A5B">
        <w:tc>
          <w:tcPr>
            <w:tcW w:w="5000" w:type="pct"/>
            <w:tcBorders>
              <w:top w:val="nil"/>
              <w:left w:val="nil"/>
              <w:bottom w:val="nil"/>
              <w:right w:val="nil"/>
            </w:tcBorders>
            <w:shd w:val="clear" w:color="auto" w:fill="FFFFFF"/>
            <w:tcMar>
              <w:top w:w="54" w:type="dxa"/>
              <w:left w:w="54" w:type="dxa"/>
              <w:bottom w:w="161" w:type="dxa"/>
              <w:right w:w="54" w:type="dxa"/>
            </w:tcMar>
            <w:vAlign w:val="center"/>
            <w:hideMark/>
          </w:tcPr>
          <w:p w:rsidR="00A34A5B" w:rsidRPr="0081165E" w:rsidRDefault="00A34A5B">
            <w:pPr>
              <w:spacing w:line="193" w:lineRule="atLeast"/>
              <w:textAlignment w:val="baseline"/>
              <w:rPr>
                <w:rFonts w:ascii="Times New Roman" w:hAnsi="Times New Roman" w:cs="Times New Roman"/>
                <w:sz w:val="20"/>
                <w:szCs w:val="20"/>
                <w:lang w:val="fr-FR"/>
              </w:rPr>
            </w:pPr>
          </w:p>
          <w:p w:rsidR="000673A6" w:rsidRPr="0081165E" w:rsidRDefault="000673A6">
            <w:pPr>
              <w:spacing w:line="193" w:lineRule="atLeast"/>
              <w:textAlignment w:val="baseline"/>
              <w:rPr>
                <w:rFonts w:ascii="Times New Roman" w:hAnsi="Times New Roman" w:cs="Times New Roman"/>
                <w:sz w:val="20"/>
                <w:szCs w:val="20"/>
              </w:rPr>
            </w:pPr>
            <w:r w:rsidRPr="0081165E">
              <w:rPr>
                <w:rFonts w:ascii="Times New Roman" w:hAnsi="Times New Roman" w:cs="Times New Roman"/>
                <w:sz w:val="20"/>
                <w:szCs w:val="20"/>
              </w:rPr>
              <w:t>Activités</w:t>
            </w:r>
          </w:p>
        </w:tc>
      </w:tr>
    </w:tbl>
    <w:p w:rsidR="000673A6" w:rsidRPr="0081165E" w:rsidRDefault="000673A6" w:rsidP="000673A6">
      <w:pPr>
        <w:rPr>
          <w:rFonts w:ascii="Times New Roman" w:hAnsi="Times New Roman" w:cs="Times New Roman"/>
          <w:vanish/>
          <w:sz w:val="20"/>
          <w:szCs w:val="20"/>
        </w:rPr>
      </w:pPr>
    </w:p>
    <w:tbl>
      <w:tblPr>
        <w:tblW w:w="5000" w:type="pct"/>
        <w:shd w:val="clear" w:color="auto" w:fill="FFFFFF"/>
        <w:tblCellMar>
          <w:left w:w="0" w:type="dxa"/>
          <w:right w:w="0" w:type="dxa"/>
        </w:tblCellMar>
        <w:tblLook w:val="04A0"/>
      </w:tblPr>
      <w:tblGrid>
        <w:gridCol w:w="4734"/>
        <w:gridCol w:w="4734"/>
      </w:tblGrid>
      <w:tr w:rsidR="000673A6" w:rsidRPr="0081165E" w:rsidTr="000673A6">
        <w:tc>
          <w:tcPr>
            <w:tcW w:w="2500" w:type="pct"/>
            <w:tcBorders>
              <w:top w:val="single" w:sz="12"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t>Savoir-faire</w:t>
            </w:r>
          </w:p>
        </w:tc>
        <w:tc>
          <w:tcPr>
            <w:tcW w:w="2500" w:type="pct"/>
            <w:tcBorders>
              <w:top w:val="single" w:sz="12"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b/>
                <w:bCs/>
                <w:sz w:val="20"/>
                <w:szCs w:val="20"/>
              </w:rPr>
            </w:pPr>
            <w:r w:rsidRPr="0081165E">
              <w:rPr>
                <w:rFonts w:ascii="Times New Roman" w:hAnsi="Times New Roman" w:cs="Times New Roman"/>
                <w:b/>
                <w:bCs/>
                <w:sz w:val="20"/>
                <w:szCs w:val="20"/>
              </w:rPr>
              <w:t>Savoirs</w:t>
            </w:r>
          </w:p>
        </w:tc>
      </w:tr>
      <w:tr w:rsidR="000673A6" w:rsidRPr="0081165E" w:rsidTr="000673A6">
        <w:tc>
          <w:tcPr>
            <w:tcW w:w="0" w:type="auto"/>
            <w:gridSpan w:val="2"/>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A34A5B" w:rsidRPr="0081165E" w:rsidRDefault="00A34A5B" w:rsidP="00A34A5B">
            <w:pPr>
              <w:spacing w:line="193" w:lineRule="atLeast"/>
              <w:rPr>
                <w:rFonts w:ascii="Times New Roman" w:hAnsi="Times New Roman" w:cs="Times New Roman"/>
                <w:b/>
                <w:bCs/>
                <w:sz w:val="20"/>
                <w:szCs w:val="20"/>
                <w:lang w:val="fr-FR"/>
              </w:rPr>
            </w:pPr>
          </w:p>
          <w:p w:rsidR="000673A6" w:rsidRPr="0081165E" w:rsidRDefault="000673A6" w:rsidP="00A34A5B">
            <w:pPr>
              <w:spacing w:line="193" w:lineRule="atLeast"/>
              <w:rPr>
                <w:rFonts w:ascii="Times New Roman" w:hAnsi="Times New Roman" w:cs="Times New Roman"/>
                <w:b/>
                <w:bCs/>
                <w:sz w:val="20"/>
                <w:szCs w:val="20"/>
                <w:lang w:val="fr-FR"/>
              </w:rPr>
            </w:pPr>
            <w:r w:rsidRPr="0081165E">
              <w:rPr>
                <w:rFonts w:ascii="Times New Roman" w:hAnsi="Times New Roman" w:cs="Times New Roman"/>
                <w:b/>
                <w:bCs/>
                <w:sz w:val="20"/>
                <w:szCs w:val="20"/>
                <w:lang w:val="fr-FR"/>
              </w:rPr>
              <w:t xml:space="preserve">Participation à la définition des orientations financières et stratégiques et mise en </w:t>
            </w:r>
            <w:r w:rsidR="00A34A5B" w:rsidRPr="0081165E">
              <w:rPr>
                <w:rFonts w:ascii="Times New Roman" w:hAnsi="Times New Roman" w:cs="Times New Roman"/>
                <w:b/>
                <w:bCs/>
                <w:sz w:val="20"/>
                <w:szCs w:val="20"/>
                <w:lang w:val="fr-FR"/>
              </w:rPr>
              <w:t>oeu</w:t>
            </w:r>
            <w:r w:rsidRPr="0081165E">
              <w:rPr>
                <w:rFonts w:ascii="Times New Roman" w:hAnsi="Times New Roman" w:cs="Times New Roman"/>
                <w:b/>
                <w:bCs/>
                <w:sz w:val="20"/>
                <w:szCs w:val="20"/>
                <w:lang w:val="fr-FR"/>
              </w:rPr>
              <w:t>vre</w:t>
            </w:r>
          </w:p>
        </w:tc>
      </w:tr>
      <w:tr w:rsidR="000673A6" w:rsidRPr="0081165E" w:rsidTr="000673A6">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19"/>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Réaliser un diagnostic financier des services de la collectivité</w:t>
            </w:r>
          </w:p>
          <w:p w:rsidR="000673A6" w:rsidRPr="0081165E" w:rsidRDefault="000673A6" w:rsidP="000673A6">
            <w:pPr>
              <w:numPr>
                <w:ilvl w:val="0"/>
                <w:numId w:val="19"/>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Analyser les évolutions (juridiques, politiques) et leurs incidences sur la politique financière de la collectivité</w:t>
            </w:r>
          </w:p>
        </w:tc>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Default="000673A6" w:rsidP="0081165E">
            <w:pPr>
              <w:numPr>
                <w:ilvl w:val="0"/>
                <w:numId w:val="20"/>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 xml:space="preserve">Enjeux et cadre réglementaire de la comptabilité </w:t>
            </w:r>
          </w:p>
          <w:p w:rsidR="000673A6" w:rsidRDefault="000673A6" w:rsidP="00A34A5B">
            <w:pPr>
              <w:numPr>
                <w:ilvl w:val="0"/>
                <w:numId w:val="20"/>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 xml:space="preserve">Règles de base de l'achat </w:t>
            </w:r>
          </w:p>
          <w:p w:rsidR="0081165E" w:rsidRPr="0081165E" w:rsidRDefault="0081165E" w:rsidP="0081165E">
            <w:pPr>
              <w:spacing w:after="0" w:line="193" w:lineRule="atLeast"/>
              <w:ind w:left="360"/>
              <w:textAlignment w:val="baseline"/>
              <w:rPr>
                <w:rFonts w:ascii="Times New Roman" w:hAnsi="Times New Roman" w:cs="Times New Roman"/>
                <w:sz w:val="20"/>
                <w:szCs w:val="20"/>
                <w:lang w:val="fr-FR"/>
              </w:rPr>
            </w:pPr>
          </w:p>
          <w:p w:rsidR="000673A6" w:rsidRPr="0081165E" w:rsidRDefault="000673A6" w:rsidP="00A34A5B">
            <w:pPr>
              <w:spacing w:after="0" w:line="193" w:lineRule="atLeast"/>
              <w:ind w:left="360"/>
              <w:textAlignment w:val="baseline"/>
              <w:rPr>
                <w:rFonts w:ascii="Times New Roman" w:hAnsi="Times New Roman" w:cs="Times New Roman"/>
                <w:sz w:val="20"/>
                <w:szCs w:val="20"/>
                <w:lang w:val="fr-FR"/>
              </w:rPr>
            </w:pPr>
          </w:p>
        </w:tc>
      </w:tr>
      <w:tr w:rsidR="000673A6" w:rsidRPr="0081165E" w:rsidTr="000673A6">
        <w:tc>
          <w:tcPr>
            <w:tcW w:w="0" w:type="auto"/>
            <w:gridSpan w:val="2"/>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A34A5B" w:rsidRPr="0081165E" w:rsidRDefault="00A34A5B">
            <w:pPr>
              <w:spacing w:line="193" w:lineRule="atLeast"/>
              <w:rPr>
                <w:rFonts w:ascii="Times New Roman" w:hAnsi="Times New Roman" w:cs="Times New Roman"/>
                <w:b/>
                <w:bCs/>
                <w:sz w:val="20"/>
                <w:szCs w:val="20"/>
                <w:lang w:val="fr-FR"/>
              </w:rPr>
            </w:pPr>
          </w:p>
          <w:p w:rsidR="000673A6" w:rsidRPr="0081165E" w:rsidRDefault="000673A6">
            <w:pPr>
              <w:spacing w:line="193" w:lineRule="atLeast"/>
              <w:rPr>
                <w:rFonts w:ascii="Times New Roman" w:hAnsi="Times New Roman" w:cs="Times New Roman"/>
                <w:b/>
                <w:bCs/>
                <w:sz w:val="20"/>
                <w:szCs w:val="20"/>
                <w:lang w:val="fr-FR"/>
              </w:rPr>
            </w:pPr>
            <w:r w:rsidRPr="0081165E">
              <w:rPr>
                <w:rFonts w:ascii="Times New Roman" w:hAnsi="Times New Roman" w:cs="Times New Roman"/>
                <w:b/>
                <w:bCs/>
                <w:sz w:val="20"/>
                <w:szCs w:val="20"/>
                <w:lang w:val="fr-FR"/>
              </w:rPr>
              <w:t>Elaboration du budget principal et des budgets annexes</w:t>
            </w:r>
          </w:p>
        </w:tc>
      </w:tr>
      <w:tr w:rsidR="000673A6" w:rsidRPr="0081165E" w:rsidTr="000673A6">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23"/>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Préparer des scénarios d'élaboration et de réalisation budgétaire</w:t>
            </w:r>
          </w:p>
          <w:p w:rsidR="000673A6" w:rsidRPr="0081165E" w:rsidRDefault="000673A6" w:rsidP="000673A6">
            <w:pPr>
              <w:numPr>
                <w:ilvl w:val="0"/>
                <w:numId w:val="23"/>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Gérer les différentes phases du budget d'une collectivité locale</w:t>
            </w:r>
          </w:p>
          <w:p w:rsidR="000673A6" w:rsidRPr="0081165E" w:rsidRDefault="000673A6" w:rsidP="000673A6">
            <w:pPr>
              <w:numPr>
                <w:ilvl w:val="0"/>
                <w:numId w:val="23"/>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Déterminer une organisation, des étapes et un calendrier budgétaire cohérent</w:t>
            </w:r>
          </w:p>
        </w:tc>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81165E">
            <w:pPr>
              <w:numPr>
                <w:ilvl w:val="0"/>
                <w:numId w:val="24"/>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 xml:space="preserve">Règles budgétaires et comptables de la comptabilité </w:t>
            </w:r>
          </w:p>
          <w:p w:rsidR="0081165E" w:rsidRPr="0081165E" w:rsidRDefault="000673A6" w:rsidP="000673A6">
            <w:pPr>
              <w:numPr>
                <w:ilvl w:val="0"/>
                <w:numId w:val="24"/>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 xml:space="preserve">Techniques d'élaboration du budget </w:t>
            </w:r>
          </w:p>
          <w:p w:rsidR="000673A6" w:rsidRPr="0081165E" w:rsidRDefault="000673A6" w:rsidP="000673A6">
            <w:pPr>
              <w:numPr>
                <w:ilvl w:val="0"/>
                <w:numId w:val="24"/>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Règles de gestion comptable, aspects techniques</w:t>
            </w:r>
          </w:p>
          <w:p w:rsidR="000673A6" w:rsidRPr="0081165E" w:rsidRDefault="000673A6" w:rsidP="000673A6">
            <w:pPr>
              <w:numPr>
                <w:ilvl w:val="0"/>
                <w:numId w:val="24"/>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Règles de gestion financière, aspects organisationnels</w:t>
            </w:r>
          </w:p>
        </w:tc>
      </w:tr>
      <w:tr w:rsidR="000673A6" w:rsidRPr="0081165E" w:rsidTr="000673A6">
        <w:tc>
          <w:tcPr>
            <w:tcW w:w="0" w:type="auto"/>
            <w:gridSpan w:val="2"/>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b/>
                <w:bCs/>
                <w:sz w:val="20"/>
                <w:szCs w:val="20"/>
                <w:lang w:val="fr-FR"/>
              </w:rPr>
            </w:pPr>
            <w:r w:rsidRPr="0081165E">
              <w:rPr>
                <w:rFonts w:ascii="Times New Roman" w:hAnsi="Times New Roman" w:cs="Times New Roman"/>
                <w:b/>
                <w:bCs/>
                <w:sz w:val="20"/>
                <w:szCs w:val="20"/>
                <w:lang w:val="fr-FR"/>
              </w:rPr>
              <w:t>Contrôle des exécutions budgétaires déconcentrées</w:t>
            </w:r>
          </w:p>
        </w:tc>
      </w:tr>
      <w:tr w:rsidR="000673A6" w:rsidRPr="0081165E" w:rsidTr="000673A6">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25"/>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Vérifier la fiabilité et la cohérence des opérations</w:t>
            </w:r>
          </w:p>
          <w:p w:rsidR="000673A6" w:rsidRPr="0081165E" w:rsidRDefault="000673A6" w:rsidP="000673A6">
            <w:pPr>
              <w:numPr>
                <w:ilvl w:val="0"/>
                <w:numId w:val="25"/>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rPr>
              <w:t>Définir des seuils d'alerte</w:t>
            </w:r>
          </w:p>
        </w:tc>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26"/>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rPr>
              <w:t>Règles d'équilibre du compte administratif</w:t>
            </w:r>
          </w:p>
          <w:p w:rsidR="000673A6" w:rsidRPr="0081165E" w:rsidRDefault="000673A6" w:rsidP="000673A6">
            <w:pPr>
              <w:numPr>
                <w:ilvl w:val="0"/>
                <w:numId w:val="26"/>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rPr>
              <w:t>Règles budgétaires</w:t>
            </w:r>
          </w:p>
        </w:tc>
      </w:tr>
      <w:tr w:rsidR="000673A6" w:rsidRPr="0081165E" w:rsidTr="000673A6">
        <w:tc>
          <w:tcPr>
            <w:tcW w:w="0" w:type="auto"/>
            <w:gridSpan w:val="2"/>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b/>
                <w:bCs/>
                <w:sz w:val="20"/>
                <w:szCs w:val="20"/>
                <w:lang w:val="fr-FR"/>
              </w:rPr>
            </w:pPr>
            <w:r w:rsidRPr="0081165E">
              <w:rPr>
                <w:rFonts w:ascii="Times New Roman" w:hAnsi="Times New Roman" w:cs="Times New Roman"/>
                <w:b/>
                <w:bCs/>
                <w:sz w:val="20"/>
                <w:szCs w:val="20"/>
                <w:lang w:val="fr-FR"/>
              </w:rPr>
              <w:t xml:space="preserve">Mise en </w:t>
            </w:r>
            <w:r w:rsidR="00D920E6" w:rsidRPr="0081165E">
              <w:rPr>
                <w:rFonts w:ascii="Times New Roman" w:hAnsi="Times New Roman" w:cs="Times New Roman"/>
                <w:b/>
                <w:bCs/>
                <w:sz w:val="20"/>
                <w:szCs w:val="20"/>
                <w:lang w:val="fr-FR"/>
              </w:rPr>
              <w:t>œuvre</w:t>
            </w:r>
            <w:r w:rsidRPr="0081165E">
              <w:rPr>
                <w:rFonts w:ascii="Times New Roman" w:hAnsi="Times New Roman" w:cs="Times New Roman"/>
                <w:b/>
                <w:bCs/>
                <w:sz w:val="20"/>
                <w:szCs w:val="20"/>
                <w:lang w:val="fr-FR"/>
              </w:rPr>
              <w:t xml:space="preserve"> du budget pour l'ensemble des services</w:t>
            </w:r>
          </w:p>
        </w:tc>
      </w:tr>
      <w:tr w:rsidR="000673A6" w:rsidRPr="0081165E" w:rsidTr="000673A6">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27"/>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Effectuer les déclarations sociales et fiscales</w:t>
            </w:r>
          </w:p>
          <w:p w:rsidR="000673A6" w:rsidRPr="0081165E" w:rsidRDefault="000673A6" w:rsidP="000673A6">
            <w:pPr>
              <w:numPr>
                <w:ilvl w:val="0"/>
                <w:numId w:val="27"/>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Apprécier les logiques et les contraintes des autres services</w:t>
            </w:r>
          </w:p>
          <w:p w:rsidR="000673A6" w:rsidRPr="0081165E" w:rsidRDefault="000673A6" w:rsidP="000673A6">
            <w:pPr>
              <w:numPr>
                <w:ilvl w:val="0"/>
                <w:numId w:val="27"/>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Opérer des arbitrages et expliquer une décision</w:t>
            </w:r>
          </w:p>
          <w:p w:rsidR="000673A6" w:rsidRPr="0081165E" w:rsidRDefault="000673A6" w:rsidP="000673A6">
            <w:pPr>
              <w:numPr>
                <w:ilvl w:val="0"/>
                <w:numId w:val="27"/>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Elaborer les tableaux de bord de suivi budgétaire</w:t>
            </w:r>
          </w:p>
          <w:p w:rsidR="000673A6" w:rsidRPr="0081165E" w:rsidRDefault="000673A6" w:rsidP="000673A6">
            <w:pPr>
              <w:numPr>
                <w:ilvl w:val="0"/>
                <w:numId w:val="27"/>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Diffuser des rapports financiers et documents fiables</w:t>
            </w:r>
          </w:p>
        </w:tc>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28"/>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Règles d'établissement des paies et de déclaration fiscale</w:t>
            </w:r>
          </w:p>
        </w:tc>
      </w:tr>
      <w:tr w:rsidR="000673A6" w:rsidRPr="0081165E" w:rsidTr="000673A6">
        <w:tc>
          <w:tcPr>
            <w:tcW w:w="0" w:type="auto"/>
            <w:gridSpan w:val="2"/>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pPr>
              <w:spacing w:line="193" w:lineRule="atLeast"/>
              <w:rPr>
                <w:rFonts w:ascii="Times New Roman" w:hAnsi="Times New Roman" w:cs="Times New Roman"/>
                <w:b/>
                <w:bCs/>
                <w:sz w:val="20"/>
                <w:szCs w:val="20"/>
                <w:lang w:val="fr-FR"/>
              </w:rPr>
            </w:pPr>
            <w:r w:rsidRPr="0081165E">
              <w:rPr>
                <w:rFonts w:ascii="Times New Roman" w:hAnsi="Times New Roman" w:cs="Times New Roman"/>
                <w:b/>
                <w:bCs/>
                <w:sz w:val="20"/>
                <w:szCs w:val="20"/>
                <w:lang w:val="fr-FR"/>
              </w:rPr>
              <w:t>Réalisation d'analyses financières rétrospectives et prospectives</w:t>
            </w:r>
          </w:p>
        </w:tc>
      </w:tr>
      <w:tr w:rsidR="000673A6" w:rsidRPr="0081165E" w:rsidTr="000673A6">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29"/>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Anticiper sur les besoins et contraintes de la gestion prévisionnelle</w:t>
            </w:r>
          </w:p>
          <w:p w:rsidR="000673A6" w:rsidRPr="0081165E" w:rsidRDefault="000673A6" w:rsidP="000673A6">
            <w:pPr>
              <w:numPr>
                <w:ilvl w:val="0"/>
                <w:numId w:val="29"/>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rPr>
              <w:t>Interpréter les résultats de l'analyse</w:t>
            </w:r>
          </w:p>
          <w:p w:rsidR="000673A6" w:rsidRPr="0081165E" w:rsidRDefault="000673A6" w:rsidP="000673A6">
            <w:pPr>
              <w:numPr>
                <w:ilvl w:val="0"/>
                <w:numId w:val="29"/>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Comparer les résultats à des collectivités similaires</w:t>
            </w:r>
          </w:p>
          <w:p w:rsidR="000673A6" w:rsidRPr="0081165E" w:rsidRDefault="000673A6" w:rsidP="0081165E">
            <w:pPr>
              <w:numPr>
                <w:ilvl w:val="0"/>
                <w:numId w:val="29"/>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 xml:space="preserve">Définir les marges d'autofinancement et libérer des marges de </w:t>
            </w:r>
            <w:r w:rsidR="0081165E">
              <w:rPr>
                <w:rFonts w:ascii="Times New Roman" w:hAnsi="Times New Roman" w:cs="Times New Roman"/>
                <w:sz w:val="20"/>
                <w:szCs w:val="20"/>
                <w:lang w:val="fr-FR"/>
              </w:rPr>
              <w:t xml:space="preserve">manœuvres </w:t>
            </w:r>
            <w:r w:rsidRPr="0081165E">
              <w:rPr>
                <w:rFonts w:ascii="Times New Roman" w:hAnsi="Times New Roman" w:cs="Times New Roman"/>
                <w:sz w:val="20"/>
                <w:szCs w:val="20"/>
                <w:lang w:val="fr-FR"/>
              </w:rPr>
              <w:t>financières</w:t>
            </w:r>
          </w:p>
        </w:tc>
        <w:tc>
          <w:tcPr>
            <w:tcW w:w="2500" w:type="pct"/>
            <w:tcBorders>
              <w:top w:val="single" w:sz="4" w:space="0" w:color="E64163"/>
              <w:left w:val="nil"/>
              <w:bottom w:val="nil"/>
              <w:right w:val="nil"/>
            </w:tcBorders>
            <w:shd w:val="clear" w:color="auto" w:fill="FFFFFF"/>
            <w:tcMar>
              <w:top w:w="54" w:type="dxa"/>
              <w:left w:w="54" w:type="dxa"/>
              <w:bottom w:w="161" w:type="dxa"/>
              <w:right w:w="54" w:type="dxa"/>
            </w:tcMar>
            <w:vAlign w:val="bottom"/>
            <w:hideMark/>
          </w:tcPr>
          <w:p w:rsidR="000673A6" w:rsidRPr="0081165E" w:rsidRDefault="000673A6" w:rsidP="000673A6">
            <w:pPr>
              <w:numPr>
                <w:ilvl w:val="0"/>
                <w:numId w:val="30"/>
              </w:numPr>
              <w:spacing w:after="0" w:line="193" w:lineRule="atLeast"/>
              <w:ind w:left="360"/>
              <w:textAlignment w:val="baseline"/>
              <w:rPr>
                <w:rFonts w:ascii="Times New Roman" w:hAnsi="Times New Roman" w:cs="Times New Roman"/>
                <w:sz w:val="20"/>
                <w:szCs w:val="20"/>
              </w:rPr>
            </w:pPr>
            <w:r w:rsidRPr="0081165E">
              <w:rPr>
                <w:rFonts w:ascii="Times New Roman" w:hAnsi="Times New Roman" w:cs="Times New Roman"/>
                <w:sz w:val="20"/>
                <w:szCs w:val="20"/>
              </w:rPr>
              <w:t>Techniques d'analyse financière</w:t>
            </w:r>
          </w:p>
          <w:p w:rsidR="000673A6" w:rsidRPr="0081165E" w:rsidRDefault="000673A6" w:rsidP="000673A6">
            <w:pPr>
              <w:numPr>
                <w:ilvl w:val="0"/>
                <w:numId w:val="30"/>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Besoins de financement au regard de l'activité maîtrise d'ouvrage (mode de financement initial et actualisé)</w:t>
            </w:r>
          </w:p>
          <w:p w:rsidR="000673A6" w:rsidRPr="0081165E" w:rsidRDefault="000673A6" w:rsidP="000673A6">
            <w:pPr>
              <w:numPr>
                <w:ilvl w:val="0"/>
                <w:numId w:val="30"/>
              </w:numPr>
              <w:spacing w:after="0" w:line="193" w:lineRule="atLeast"/>
              <w:ind w:left="360"/>
              <w:textAlignment w:val="baseline"/>
              <w:rPr>
                <w:rFonts w:ascii="Times New Roman" w:hAnsi="Times New Roman" w:cs="Times New Roman"/>
                <w:sz w:val="20"/>
                <w:szCs w:val="20"/>
                <w:lang w:val="fr-FR"/>
              </w:rPr>
            </w:pPr>
            <w:r w:rsidRPr="0081165E">
              <w:rPr>
                <w:rFonts w:ascii="Times New Roman" w:hAnsi="Times New Roman" w:cs="Times New Roman"/>
                <w:sz w:val="20"/>
                <w:szCs w:val="20"/>
                <w:lang w:val="fr-FR"/>
              </w:rPr>
              <w:t xml:space="preserve">Méthodes d'analyse de la </w:t>
            </w:r>
            <w:r w:rsidR="0081165E" w:rsidRPr="0081165E">
              <w:rPr>
                <w:rFonts w:ascii="Times New Roman" w:hAnsi="Times New Roman" w:cs="Times New Roman"/>
                <w:sz w:val="20"/>
                <w:szCs w:val="20"/>
                <w:lang w:val="fr-FR"/>
              </w:rPr>
              <w:t>situation</w:t>
            </w:r>
          </w:p>
        </w:tc>
      </w:tr>
    </w:tbl>
    <w:p w:rsidR="000673A6" w:rsidRPr="0081165E" w:rsidRDefault="000673A6" w:rsidP="00D920E6">
      <w:pPr>
        <w:pStyle w:val="NormalWeb"/>
        <w:shd w:val="clear" w:color="auto" w:fill="FFFFFF"/>
        <w:spacing w:before="0" w:beforeAutospacing="0" w:after="0" w:afterAutospacing="0" w:line="193" w:lineRule="atLeast"/>
        <w:textAlignment w:val="baseline"/>
        <w:rPr>
          <w:sz w:val="20"/>
          <w:szCs w:val="20"/>
          <w:lang w:val="fr-FR"/>
        </w:rPr>
      </w:pPr>
    </w:p>
    <w:sectPr w:rsidR="000673A6" w:rsidRPr="0081165E" w:rsidSect="00A34A5B">
      <w:footerReference w:type="default" r:id="rId7"/>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060" w:rsidRDefault="00771060" w:rsidP="0081165E">
      <w:pPr>
        <w:spacing w:after="0" w:line="240" w:lineRule="auto"/>
      </w:pPr>
      <w:r>
        <w:separator/>
      </w:r>
    </w:p>
  </w:endnote>
  <w:endnote w:type="continuationSeparator" w:id="1">
    <w:p w:rsidR="00771060" w:rsidRDefault="00771060" w:rsidP="00811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4814"/>
      <w:docPartObj>
        <w:docPartGallery w:val="Page Numbers (Bottom of Page)"/>
        <w:docPartUnique/>
      </w:docPartObj>
    </w:sdtPr>
    <w:sdtContent>
      <w:p w:rsidR="0081165E" w:rsidRDefault="0081165E">
        <w:pPr>
          <w:pStyle w:val="Footer"/>
          <w:jc w:val="center"/>
        </w:pPr>
        <w:fldSimple w:instr=" PAGE   \* MERGEFORMAT ">
          <w:r>
            <w:rPr>
              <w:noProof/>
            </w:rPr>
            <w:t>1</w:t>
          </w:r>
        </w:fldSimple>
      </w:p>
    </w:sdtContent>
  </w:sdt>
  <w:p w:rsidR="0081165E" w:rsidRDefault="00811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060" w:rsidRDefault="00771060" w:rsidP="0081165E">
      <w:pPr>
        <w:spacing w:after="0" w:line="240" w:lineRule="auto"/>
      </w:pPr>
      <w:r>
        <w:separator/>
      </w:r>
    </w:p>
  </w:footnote>
  <w:footnote w:type="continuationSeparator" w:id="1">
    <w:p w:rsidR="00771060" w:rsidRDefault="00771060" w:rsidP="008116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A5F"/>
    <w:multiLevelType w:val="multilevel"/>
    <w:tmpl w:val="8B2C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B39BE"/>
    <w:multiLevelType w:val="multilevel"/>
    <w:tmpl w:val="FE9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751E1"/>
    <w:multiLevelType w:val="multilevel"/>
    <w:tmpl w:val="E246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554CBD"/>
    <w:multiLevelType w:val="multilevel"/>
    <w:tmpl w:val="4258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A5AA2"/>
    <w:multiLevelType w:val="multilevel"/>
    <w:tmpl w:val="7F90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96550"/>
    <w:multiLevelType w:val="multilevel"/>
    <w:tmpl w:val="FAE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8F2383"/>
    <w:multiLevelType w:val="multilevel"/>
    <w:tmpl w:val="4242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4676F9"/>
    <w:multiLevelType w:val="multilevel"/>
    <w:tmpl w:val="FD2A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C6399"/>
    <w:multiLevelType w:val="multilevel"/>
    <w:tmpl w:val="7404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D6DCE"/>
    <w:multiLevelType w:val="multilevel"/>
    <w:tmpl w:val="6B94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266C93"/>
    <w:multiLevelType w:val="multilevel"/>
    <w:tmpl w:val="3A94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072EA3"/>
    <w:multiLevelType w:val="multilevel"/>
    <w:tmpl w:val="CBFA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1F1D6F"/>
    <w:multiLevelType w:val="multilevel"/>
    <w:tmpl w:val="DE9C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F57C4D"/>
    <w:multiLevelType w:val="multilevel"/>
    <w:tmpl w:val="E73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7F1050"/>
    <w:multiLevelType w:val="multilevel"/>
    <w:tmpl w:val="E020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354184"/>
    <w:multiLevelType w:val="multilevel"/>
    <w:tmpl w:val="715C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8B34D8"/>
    <w:multiLevelType w:val="multilevel"/>
    <w:tmpl w:val="FDEA99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9E4528"/>
    <w:multiLevelType w:val="multilevel"/>
    <w:tmpl w:val="81E0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8A0AF5"/>
    <w:multiLevelType w:val="multilevel"/>
    <w:tmpl w:val="F69EC2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4A2579"/>
    <w:multiLevelType w:val="multilevel"/>
    <w:tmpl w:val="85BC10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C531A0"/>
    <w:multiLevelType w:val="multilevel"/>
    <w:tmpl w:val="2562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0B1575"/>
    <w:multiLevelType w:val="multilevel"/>
    <w:tmpl w:val="CEF2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D4037A"/>
    <w:multiLevelType w:val="multilevel"/>
    <w:tmpl w:val="27F4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9D53DF"/>
    <w:multiLevelType w:val="multilevel"/>
    <w:tmpl w:val="9FB8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541E5"/>
    <w:multiLevelType w:val="multilevel"/>
    <w:tmpl w:val="71D2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5D0252"/>
    <w:multiLevelType w:val="multilevel"/>
    <w:tmpl w:val="759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555856"/>
    <w:multiLevelType w:val="multilevel"/>
    <w:tmpl w:val="4AD4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8E455F"/>
    <w:multiLevelType w:val="multilevel"/>
    <w:tmpl w:val="16FC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B7110"/>
    <w:multiLevelType w:val="multilevel"/>
    <w:tmpl w:val="A5CA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042DDC"/>
    <w:multiLevelType w:val="multilevel"/>
    <w:tmpl w:val="3298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622FAC"/>
    <w:multiLevelType w:val="multilevel"/>
    <w:tmpl w:val="AD46E7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A81594"/>
    <w:multiLevelType w:val="multilevel"/>
    <w:tmpl w:val="0C62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8157FF"/>
    <w:multiLevelType w:val="multilevel"/>
    <w:tmpl w:val="40D0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C844C7"/>
    <w:multiLevelType w:val="multilevel"/>
    <w:tmpl w:val="A284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D24FBA"/>
    <w:multiLevelType w:val="multilevel"/>
    <w:tmpl w:val="AFD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E42043"/>
    <w:multiLevelType w:val="multilevel"/>
    <w:tmpl w:val="C118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
    <w:abstractNumId w:val="1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9"/>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num>
  <w:num w:numId="6">
    <w:abstractNumId w:val="17"/>
  </w:num>
  <w:num w:numId="7">
    <w:abstractNumId w:val="32"/>
  </w:num>
  <w:num w:numId="8">
    <w:abstractNumId w:val="26"/>
  </w:num>
  <w:num w:numId="9">
    <w:abstractNumId w:val="5"/>
  </w:num>
  <w:num w:numId="10">
    <w:abstractNumId w:val="25"/>
  </w:num>
  <w:num w:numId="11">
    <w:abstractNumId w:val="9"/>
  </w:num>
  <w:num w:numId="12">
    <w:abstractNumId w:val="24"/>
  </w:num>
  <w:num w:numId="13">
    <w:abstractNumId w:val="6"/>
  </w:num>
  <w:num w:numId="14">
    <w:abstractNumId w:val="35"/>
  </w:num>
  <w:num w:numId="15">
    <w:abstractNumId w:val="8"/>
  </w:num>
  <w:num w:numId="16">
    <w:abstractNumId w:val="31"/>
  </w:num>
  <w:num w:numId="17">
    <w:abstractNumId w:val="29"/>
  </w:num>
  <w:num w:numId="18">
    <w:abstractNumId w:val="10"/>
  </w:num>
  <w:num w:numId="19">
    <w:abstractNumId w:val="22"/>
  </w:num>
  <w:num w:numId="20">
    <w:abstractNumId w:val="2"/>
  </w:num>
  <w:num w:numId="21">
    <w:abstractNumId w:val="14"/>
  </w:num>
  <w:num w:numId="22">
    <w:abstractNumId w:val="15"/>
  </w:num>
  <w:num w:numId="23">
    <w:abstractNumId w:val="27"/>
  </w:num>
  <w:num w:numId="24">
    <w:abstractNumId w:val="21"/>
  </w:num>
  <w:num w:numId="25">
    <w:abstractNumId w:val="3"/>
  </w:num>
  <w:num w:numId="26">
    <w:abstractNumId w:val="13"/>
  </w:num>
  <w:num w:numId="27">
    <w:abstractNumId w:val="4"/>
  </w:num>
  <w:num w:numId="28">
    <w:abstractNumId w:val="12"/>
  </w:num>
  <w:num w:numId="29">
    <w:abstractNumId w:val="23"/>
  </w:num>
  <w:num w:numId="30">
    <w:abstractNumId w:val="11"/>
  </w:num>
  <w:num w:numId="31">
    <w:abstractNumId w:val="28"/>
  </w:num>
  <w:num w:numId="32">
    <w:abstractNumId w:val="7"/>
  </w:num>
  <w:num w:numId="33">
    <w:abstractNumId w:val="0"/>
  </w:num>
  <w:num w:numId="34">
    <w:abstractNumId w:val="34"/>
  </w:num>
  <w:num w:numId="35">
    <w:abstractNumId w:val="20"/>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A24931"/>
    <w:rsid w:val="000277A6"/>
    <w:rsid w:val="00064D92"/>
    <w:rsid w:val="000673A6"/>
    <w:rsid w:val="000B1920"/>
    <w:rsid w:val="000C2C42"/>
    <w:rsid w:val="00116586"/>
    <w:rsid w:val="00177C12"/>
    <w:rsid w:val="001A2213"/>
    <w:rsid w:val="001D3FD2"/>
    <w:rsid w:val="001F59F0"/>
    <w:rsid w:val="0026352A"/>
    <w:rsid w:val="002B6256"/>
    <w:rsid w:val="00315286"/>
    <w:rsid w:val="0032515D"/>
    <w:rsid w:val="00362B24"/>
    <w:rsid w:val="00370232"/>
    <w:rsid w:val="00376076"/>
    <w:rsid w:val="003A5047"/>
    <w:rsid w:val="003F23FA"/>
    <w:rsid w:val="004117DD"/>
    <w:rsid w:val="00423707"/>
    <w:rsid w:val="00451DAB"/>
    <w:rsid w:val="004C6394"/>
    <w:rsid w:val="00551DB7"/>
    <w:rsid w:val="00557EB3"/>
    <w:rsid w:val="005A6AA7"/>
    <w:rsid w:val="005B1BCA"/>
    <w:rsid w:val="005D1A44"/>
    <w:rsid w:val="005E0FB7"/>
    <w:rsid w:val="005E26F8"/>
    <w:rsid w:val="006F5393"/>
    <w:rsid w:val="007458B8"/>
    <w:rsid w:val="00771060"/>
    <w:rsid w:val="007C4825"/>
    <w:rsid w:val="007F7138"/>
    <w:rsid w:val="0081165E"/>
    <w:rsid w:val="00814B1F"/>
    <w:rsid w:val="00822ED8"/>
    <w:rsid w:val="00834A4C"/>
    <w:rsid w:val="00886CF7"/>
    <w:rsid w:val="00917096"/>
    <w:rsid w:val="00925D02"/>
    <w:rsid w:val="00941930"/>
    <w:rsid w:val="009424AC"/>
    <w:rsid w:val="009D57BE"/>
    <w:rsid w:val="00A24931"/>
    <w:rsid w:val="00A34A5B"/>
    <w:rsid w:val="00A4552D"/>
    <w:rsid w:val="00A6404E"/>
    <w:rsid w:val="00A67872"/>
    <w:rsid w:val="00A9657B"/>
    <w:rsid w:val="00AD7420"/>
    <w:rsid w:val="00AE0F38"/>
    <w:rsid w:val="00B02CC2"/>
    <w:rsid w:val="00B230F1"/>
    <w:rsid w:val="00B35617"/>
    <w:rsid w:val="00B9145F"/>
    <w:rsid w:val="00BB3727"/>
    <w:rsid w:val="00BE76D9"/>
    <w:rsid w:val="00C8250D"/>
    <w:rsid w:val="00CC3595"/>
    <w:rsid w:val="00D22A80"/>
    <w:rsid w:val="00D33E84"/>
    <w:rsid w:val="00D35139"/>
    <w:rsid w:val="00D36494"/>
    <w:rsid w:val="00D81EFC"/>
    <w:rsid w:val="00D920E6"/>
    <w:rsid w:val="00DF5264"/>
    <w:rsid w:val="00F876E5"/>
    <w:rsid w:val="00FE6CA6"/>
    <w:rsid w:val="00FF5A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264"/>
  </w:style>
  <w:style w:type="paragraph" w:styleId="Heading1">
    <w:name w:val="heading 1"/>
    <w:basedOn w:val="Normal"/>
    <w:link w:val="Heading1Char"/>
    <w:uiPriority w:val="9"/>
    <w:qFormat/>
    <w:rsid w:val="00A249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49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9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493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24931"/>
  </w:style>
  <w:style w:type="character" w:styleId="Hyperlink">
    <w:name w:val="Hyperlink"/>
    <w:basedOn w:val="DefaultParagraphFont"/>
    <w:uiPriority w:val="99"/>
    <w:semiHidden/>
    <w:unhideWhenUsed/>
    <w:rsid w:val="00A24931"/>
    <w:rPr>
      <w:color w:val="0000FF"/>
      <w:u w:val="single"/>
    </w:rPr>
  </w:style>
  <w:style w:type="paragraph" w:styleId="NormalWeb">
    <w:name w:val="Normal (Web)"/>
    <w:basedOn w:val="Normal"/>
    <w:uiPriority w:val="99"/>
    <w:unhideWhenUsed/>
    <w:rsid w:val="00A249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931"/>
    <w:rPr>
      <w:b/>
      <w:bCs/>
    </w:rPr>
  </w:style>
  <w:style w:type="character" w:customStyle="1" w:styleId="code">
    <w:name w:val="code"/>
    <w:basedOn w:val="DefaultParagraphFont"/>
    <w:rsid w:val="000673A6"/>
  </w:style>
  <w:style w:type="character" w:customStyle="1" w:styleId="lib">
    <w:name w:val="lib"/>
    <w:basedOn w:val="DefaultParagraphFont"/>
    <w:rsid w:val="000673A6"/>
  </w:style>
  <w:style w:type="paragraph" w:styleId="Header">
    <w:name w:val="header"/>
    <w:basedOn w:val="Normal"/>
    <w:link w:val="HeaderChar"/>
    <w:uiPriority w:val="99"/>
    <w:semiHidden/>
    <w:unhideWhenUsed/>
    <w:rsid w:val="008116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65E"/>
  </w:style>
  <w:style w:type="paragraph" w:styleId="Footer">
    <w:name w:val="footer"/>
    <w:basedOn w:val="Normal"/>
    <w:link w:val="FooterChar"/>
    <w:uiPriority w:val="99"/>
    <w:unhideWhenUsed/>
    <w:rsid w:val="00811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65E"/>
  </w:style>
</w:styles>
</file>

<file path=word/webSettings.xml><?xml version="1.0" encoding="utf-8"?>
<w:webSettings xmlns:r="http://schemas.openxmlformats.org/officeDocument/2006/relationships" xmlns:w="http://schemas.openxmlformats.org/wordprocessingml/2006/main">
  <w:divs>
    <w:div w:id="681443975">
      <w:bodyDiv w:val="1"/>
      <w:marLeft w:val="0"/>
      <w:marRight w:val="0"/>
      <w:marTop w:val="0"/>
      <w:marBottom w:val="0"/>
      <w:divBdr>
        <w:top w:val="none" w:sz="0" w:space="0" w:color="auto"/>
        <w:left w:val="none" w:sz="0" w:space="0" w:color="auto"/>
        <w:bottom w:val="none" w:sz="0" w:space="0" w:color="auto"/>
        <w:right w:val="none" w:sz="0" w:space="0" w:color="auto"/>
      </w:divBdr>
      <w:divsChild>
        <w:div w:id="1436484116">
          <w:marLeft w:val="0"/>
          <w:marRight w:val="0"/>
          <w:marTop w:val="161"/>
          <w:marBottom w:val="0"/>
          <w:divBdr>
            <w:top w:val="single" w:sz="4" w:space="0" w:color="D6D6D6"/>
            <w:left w:val="none" w:sz="0" w:space="11" w:color="auto"/>
            <w:bottom w:val="single" w:sz="4" w:space="11" w:color="D6D6D6"/>
            <w:right w:val="none" w:sz="0" w:space="11" w:color="auto"/>
          </w:divBdr>
        </w:div>
        <w:div w:id="752360672">
          <w:marLeft w:val="0"/>
          <w:marRight w:val="0"/>
          <w:marTop w:val="161"/>
          <w:marBottom w:val="0"/>
          <w:divBdr>
            <w:top w:val="single" w:sz="4" w:space="0" w:color="D6D6D6"/>
            <w:left w:val="none" w:sz="0" w:space="11" w:color="auto"/>
            <w:bottom w:val="single" w:sz="4" w:space="11" w:color="D6D6D6"/>
            <w:right w:val="none" w:sz="0" w:space="11" w:color="auto"/>
          </w:divBdr>
        </w:div>
        <w:div w:id="326131137">
          <w:marLeft w:val="0"/>
          <w:marRight w:val="0"/>
          <w:marTop w:val="161"/>
          <w:marBottom w:val="0"/>
          <w:divBdr>
            <w:top w:val="single" w:sz="4" w:space="0" w:color="D6D6D6"/>
            <w:left w:val="none" w:sz="0" w:space="11" w:color="auto"/>
            <w:bottom w:val="single" w:sz="4" w:space="11" w:color="D6D6D6"/>
            <w:right w:val="none" w:sz="0" w:space="11" w:color="auto"/>
          </w:divBdr>
        </w:div>
        <w:div w:id="331495712">
          <w:marLeft w:val="0"/>
          <w:marRight w:val="0"/>
          <w:marTop w:val="161"/>
          <w:marBottom w:val="0"/>
          <w:divBdr>
            <w:top w:val="single" w:sz="4" w:space="0" w:color="D6D6D6"/>
            <w:left w:val="none" w:sz="0" w:space="11" w:color="auto"/>
            <w:bottom w:val="single" w:sz="4" w:space="11" w:color="D6D6D6"/>
            <w:right w:val="none" w:sz="0" w:space="11" w:color="auto"/>
          </w:divBdr>
        </w:div>
      </w:divsChild>
    </w:div>
    <w:div w:id="952517992">
      <w:bodyDiv w:val="1"/>
      <w:marLeft w:val="0"/>
      <w:marRight w:val="0"/>
      <w:marTop w:val="0"/>
      <w:marBottom w:val="0"/>
      <w:divBdr>
        <w:top w:val="none" w:sz="0" w:space="0" w:color="auto"/>
        <w:left w:val="none" w:sz="0" w:space="0" w:color="auto"/>
        <w:bottom w:val="none" w:sz="0" w:space="0" w:color="auto"/>
        <w:right w:val="none" w:sz="0" w:space="0" w:color="auto"/>
      </w:divBdr>
      <w:divsChild>
        <w:div w:id="16945714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7</cp:revision>
  <dcterms:created xsi:type="dcterms:W3CDTF">2012-06-06T17:55:00Z</dcterms:created>
  <dcterms:modified xsi:type="dcterms:W3CDTF">2012-09-30T18:11:00Z</dcterms:modified>
</cp:coreProperties>
</file>